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9DA" w:rsidRPr="006B29DA" w:rsidRDefault="006B29DA" w:rsidP="006B29DA">
      <w:pPr>
        <w:pStyle w:val="Titre1"/>
        <w:pBdr>
          <w:bottom w:val="single" w:sz="4" w:space="1" w:color="auto"/>
        </w:pBdr>
        <w:rPr>
          <w:color w:val="7F7F7F" w:themeColor="text1" w:themeTint="80"/>
          <w:sz w:val="36"/>
        </w:rPr>
      </w:pPr>
      <w:r w:rsidRPr="006B29DA">
        <w:rPr>
          <w:color w:val="7F7F7F" w:themeColor="text1" w:themeTint="80"/>
          <w:sz w:val="36"/>
        </w:rPr>
        <w:t>Organisation de l’édition RESA 2017</w:t>
      </w:r>
    </w:p>
    <w:p w:rsidR="006B29DA" w:rsidRPr="006B29DA" w:rsidRDefault="006B29DA" w:rsidP="006B29DA"/>
    <w:p w:rsidR="006B29DA" w:rsidRPr="008D5160" w:rsidRDefault="006B29DA" w:rsidP="006B29DA">
      <w:pPr>
        <w:spacing w:after="0"/>
      </w:pPr>
    </w:p>
    <w:p w:rsidR="006B29DA" w:rsidRDefault="006B29DA" w:rsidP="006B29DA">
      <w:pPr>
        <w:pStyle w:val="Paragraphedeliste"/>
        <w:numPr>
          <w:ilvl w:val="0"/>
          <w:numId w:val="3"/>
        </w:numPr>
        <w:spacing w:after="0" w:line="240" w:lineRule="auto"/>
        <w:ind w:left="1210"/>
        <w:jc w:val="both"/>
        <w:rPr>
          <w:b/>
        </w:rPr>
      </w:pPr>
      <w:r w:rsidRPr="006126CC">
        <w:rPr>
          <w:b/>
        </w:rPr>
        <w:t xml:space="preserve">Modalités pratiques   </w:t>
      </w:r>
    </w:p>
    <w:p w:rsidR="006B29DA" w:rsidRPr="00B54320" w:rsidRDefault="006B29DA" w:rsidP="006B29DA">
      <w:pPr>
        <w:pStyle w:val="Paragraphedeliste"/>
        <w:spacing w:after="0" w:line="240" w:lineRule="auto"/>
        <w:ind w:left="1440"/>
        <w:jc w:val="both"/>
        <w:rPr>
          <w:b/>
        </w:rPr>
      </w:pPr>
    </w:p>
    <w:p w:rsidR="006B29DA" w:rsidRDefault="006B29DA" w:rsidP="006B29DA">
      <w:pPr>
        <w:pStyle w:val="Paragraphedeliste"/>
        <w:numPr>
          <w:ilvl w:val="0"/>
          <w:numId w:val="2"/>
        </w:numPr>
        <w:spacing w:after="0"/>
        <w:ind w:left="1494"/>
        <w:jc w:val="both"/>
      </w:pPr>
      <w:r>
        <w:t>Lors de l’évènement</w:t>
      </w:r>
    </w:p>
    <w:p w:rsidR="006B29DA" w:rsidRDefault="006B29DA" w:rsidP="006B29DA">
      <w:pPr>
        <w:spacing w:after="0"/>
        <w:jc w:val="both"/>
      </w:pPr>
      <w:r>
        <w:t xml:space="preserve">Les adhérents du SIMV souhaitent cloisonner les espaces B2B pour plus de confidentialité des échanges. Pour cela les rencontres auront lieu dans les espaces dédiés (box généraux) sans distinction entre les rencontres RESA ou Biofit. </w:t>
      </w:r>
    </w:p>
    <w:p w:rsidR="006B29DA" w:rsidRDefault="006B29DA" w:rsidP="006B29DA">
      <w:pPr>
        <w:spacing w:after="0"/>
        <w:jc w:val="both"/>
      </w:pPr>
    </w:p>
    <w:p w:rsidR="006B29DA" w:rsidRDefault="006B29DA" w:rsidP="006B29DA">
      <w:pPr>
        <w:spacing w:after="0"/>
        <w:jc w:val="both"/>
      </w:pPr>
      <w:r>
        <w:t xml:space="preserve">Pour une bonne visibilité des RESA : village santé animale avec logo « santé animale » (démarquage géographique) comprenant un pavillon d’exposition SIMV entouré de co-exposants (comme l’édition 2014). </w:t>
      </w:r>
    </w:p>
    <w:p w:rsidR="006B29DA" w:rsidRDefault="006B29DA" w:rsidP="006B29DA">
      <w:pPr>
        <w:spacing w:after="0"/>
        <w:jc w:val="both"/>
      </w:pPr>
    </w:p>
    <w:p w:rsidR="006B29DA" w:rsidRDefault="006B29DA" w:rsidP="006B29DA">
      <w:pPr>
        <w:pStyle w:val="Paragraphedeliste"/>
        <w:numPr>
          <w:ilvl w:val="0"/>
          <w:numId w:val="2"/>
        </w:numPr>
        <w:spacing w:after="0"/>
        <w:ind w:left="1494"/>
        <w:jc w:val="both"/>
      </w:pPr>
      <w:r>
        <w:t>La plateforme d’inscription Biofit</w:t>
      </w:r>
    </w:p>
    <w:p w:rsidR="006B29DA" w:rsidRDefault="006B29DA" w:rsidP="006B29DA">
      <w:pPr>
        <w:spacing w:after="0"/>
        <w:jc w:val="both"/>
      </w:pPr>
      <w:r>
        <w:t xml:space="preserve">Chacun s’organise pour prévoir ses rendez-vous lors de l’évènement Biofit. Sur la plateforme, pour faire en sorte que les industriels puissent retrouver facilement les projets il faudra penser à indiquer le nom du contact en plus de l’acronyme et bien penser à laisser le même titre, acronyme et mots clefs (santé animale) lors de la mise en ligne du projet sur la plateforme. </w:t>
      </w:r>
    </w:p>
    <w:p w:rsidR="006B29DA" w:rsidRDefault="006B29DA" w:rsidP="006B29DA">
      <w:pPr>
        <w:spacing w:after="0"/>
        <w:jc w:val="both"/>
      </w:pPr>
    </w:p>
    <w:p w:rsidR="006B29DA" w:rsidRDefault="006B29DA" w:rsidP="006B29DA">
      <w:pPr>
        <w:spacing w:after="0"/>
        <w:jc w:val="both"/>
      </w:pPr>
      <w:r>
        <w:t xml:space="preserve">Le SIMV souhaite un marquage RESA dans le formulaire pour identifier les projets (à voir avec Biofit). </w:t>
      </w:r>
    </w:p>
    <w:p w:rsidR="006B29DA" w:rsidRPr="00ED49DC" w:rsidRDefault="006B29DA" w:rsidP="006B29DA">
      <w:pPr>
        <w:spacing w:after="0" w:line="240" w:lineRule="auto"/>
        <w:jc w:val="both"/>
      </w:pPr>
    </w:p>
    <w:p w:rsidR="006B29DA" w:rsidRPr="006126CC" w:rsidRDefault="006B29DA" w:rsidP="006B29DA">
      <w:pPr>
        <w:pStyle w:val="Paragraphedeliste"/>
        <w:numPr>
          <w:ilvl w:val="0"/>
          <w:numId w:val="3"/>
        </w:numPr>
        <w:spacing w:after="0" w:line="240" w:lineRule="auto"/>
        <w:ind w:left="1210"/>
        <w:jc w:val="both"/>
        <w:rPr>
          <w:b/>
        </w:rPr>
      </w:pPr>
      <w:r w:rsidRPr="006126CC">
        <w:rPr>
          <w:b/>
        </w:rPr>
        <w:t xml:space="preserve">Méthodologie de sélection des projets </w:t>
      </w:r>
    </w:p>
    <w:p w:rsidR="006B29DA" w:rsidRDefault="006B29DA" w:rsidP="006B29DA">
      <w:pPr>
        <w:pStyle w:val="Paragraphedeliste"/>
        <w:spacing w:after="0" w:line="240" w:lineRule="auto"/>
        <w:ind w:left="1080"/>
        <w:jc w:val="both"/>
      </w:pPr>
    </w:p>
    <w:p w:rsidR="006B29DA" w:rsidRDefault="006B29DA" w:rsidP="006B29DA">
      <w:pPr>
        <w:pStyle w:val="Paragraphedeliste"/>
        <w:numPr>
          <w:ilvl w:val="0"/>
          <w:numId w:val="2"/>
        </w:numPr>
        <w:spacing w:after="0"/>
        <w:ind w:left="1494"/>
        <w:jc w:val="both"/>
      </w:pPr>
      <w:r>
        <w:t xml:space="preserve">Standardisation des supports des projets : </w:t>
      </w:r>
    </w:p>
    <w:p w:rsidR="006B29DA" w:rsidRDefault="006B29DA" w:rsidP="006B29DA">
      <w:pPr>
        <w:spacing w:after="0"/>
        <w:jc w:val="both"/>
      </w:pPr>
      <w:r>
        <w:t xml:space="preserve">Il doit y avoir autant de fiches que de projets. Le support de présentation doit être en anglais avec des données non-confidentielles, le niveau </w:t>
      </w:r>
      <w:r w:rsidRPr="00A8113E">
        <w:t>TRL (Technology Readiness Level) et le stade du développement doivent être indiqués au mieux. 2 pages maximum sont attendues pour la présentation du projet. Il n’y a pas de nécessité de faire une trame commune mais possibilité de demander</w:t>
      </w:r>
      <w:r>
        <w:t xml:space="preserve"> un format type au SIMV. </w:t>
      </w:r>
    </w:p>
    <w:p w:rsidR="006B29DA" w:rsidRDefault="006B29DA" w:rsidP="006B29DA">
      <w:pPr>
        <w:spacing w:after="0"/>
        <w:jc w:val="both"/>
      </w:pPr>
    </w:p>
    <w:p w:rsidR="006B29DA" w:rsidRDefault="006B29DA" w:rsidP="006B29DA">
      <w:pPr>
        <w:pStyle w:val="Paragraphedeliste"/>
        <w:numPr>
          <w:ilvl w:val="0"/>
          <w:numId w:val="2"/>
        </w:numPr>
        <w:spacing w:after="0"/>
        <w:ind w:left="1494"/>
        <w:jc w:val="both"/>
      </w:pPr>
      <w:r>
        <w:t xml:space="preserve">Processus de réception </w:t>
      </w:r>
    </w:p>
    <w:p w:rsidR="006B29DA" w:rsidRDefault="006B29DA" w:rsidP="006B29DA">
      <w:pPr>
        <w:spacing w:after="0"/>
        <w:jc w:val="both"/>
      </w:pPr>
      <w:r>
        <w:t xml:space="preserve">Les projets envoyés au SIMV seront rassemblés et distribués aux industriels pour les sélectionner. Après le tri, le retour des fiches sera fait aux porteurs de projet. </w:t>
      </w:r>
    </w:p>
    <w:p w:rsidR="006B29DA" w:rsidRDefault="006B29DA" w:rsidP="006B29DA">
      <w:pPr>
        <w:pStyle w:val="Paragraphedeliste"/>
        <w:spacing w:after="0" w:line="240" w:lineRule="auto"/>
        <w:jc w:val="both"/>
      </w:pPr>
    </w:p>
    <w:p w:rsidR="006B29DA" w:rsidRDefault="006B29DA" w:rsidP="006B29DA">
      <w:pPr>
        <w:pStyle w:val="Paragraphedeliste"/>
        <w:numPr>
          <w:ilvl w:val="0"/>
          <w:numId w:val="2"/>
        </w:numPr>
        <w:spacing w:after="0" w:line="240" w:lineRule="auto"/>
        <w:ind w:left="1494"/>
        <w:jc w:val="both"/>
      </w:pPr>
      <w:r>
        <w:t>La sélection des projets</w:t>
      </w:r>
    </w:p>
    <w:p w:rsidR="006B29DA" w:rsidRDefault="006B29DA" w:rsidP="006B29DA">
      <w:pPr>
        <w:spacing w:after="0"/>
        <w:jc w:val="both"/>
      </w:pPr>
      <w:r>
        <w:t xml:space="preserve">Les projets attendus sont des innovations à thématique très large. Ils peuvent être à différents niveau de maturité en amont, aval ou appliqué : </w:t>
      </w:r>
      <w:r w:rsidRPr="00A91A89">
        <w:rPr>
          <w:b/>
        </w:rPr>
        <w:t>aucun projet n’est exclu</w:t>
      </w:r>
      <w:r>
        <w:t xml:space="preserve">.  Pas de processus de sélection sur la valeur mais au travers d’un screening. La sélection est faite par les membres du SIMV (industries). </w:t>
      </w:r>
    </w:p>
    <w:p w:rsidR="006B29DA" w:rsidRDefault="006B29DA" w:rsidP="006B29DA">
      <w:pPr>
        <w:spacing w:after="0"/>
      </w:pPr>
    </w:p>
    <w:p w:rsidR="006B29DA" w:rsidRDefault="006B29DA" w:rsidP="006B29DA">
      <w:pPr>
        <w:pStyle w:val="Paragraphedeliste"/>
        <w:numPr>
          <w:ilvl w:val="0"/>
          <w:numId w:val="2"/>
        </w:numPr>
        <w:spacing w:after="0"/>
        <w:ind w:left="1494"/>
      </w:pPr>
      <w:r>
        <w:t>C</w:t>
      </w:r>
      <w:r w:rsidRPr="009514F0">
        <w:t>onfidentialité</w:t>
      </w:r>
    </w:p>
    <w:p w:rsidR="006B29DA" w:rsidRDefault="006B29DA" w:rsidP="006B29DA">
      <w:pPr>
        <w:spacing w:after="0"/>
      </w:pPr>
      <w:r>
        <w:t>Les informations envoyées par les organismes de transfert ne sont pas confidentielles. En revanche, les projets sélectionnés seront recompilés de façon confidentielle. Par exemple : projet X aura 3 rendez-vous, projet Y n’a pas retenu l’intérêt etc</w:t>
      </w:r>
    </w:p>
    <w:p w:rsidR="006B29DA" w:rsidRDefault="006B29DA" w:rsidP="006B29DA">
      <w:pPr>
        <w:spacing w:after="0"/>
      </w:pPr>
    </w:p>
    <w:p w:rsidR="006B29DA" w:rsidRDefault="006B29DA" w:rsidP="006B29DA">
      <w:pPr>
        <w:spacing w:after="0"/>
      </w:pPr>
    </w:p>
    <w:p w:rsidR="006B29DA" w:rsidRDefault="006B29DA" w:rsidP="006B29DA">
      <w:pPr>
        <w:spacing w:after="0"/>
      </w:pPr>
    </w:p>
    <w:p w:rsidR="006B29DA" w:rsidRDefault="006B29DA" w:rsidP="006B29DA">
      <w:pPr>
        <w:spacing w:after="0"/>
      </w:pPr>
    </w:p>
    <w:p w:rsidR="006B29DA" w:rsidRDefault="006B29DA" w:rsidP="006B29DA">
      <w:pPr>
        <w:spacing w:after="0"/>
      </w:pPr>
    </w:p>
    <w:p w:rsidR="006B29DA" w:rsidRPr="00ED49DC" w:rsidRDefault="006B29DA" w:rsidP="006B29DA">
      <w:pPr>
        <w:spacing w:after="0" w:line="240" w:lineRule="auto"/>
        <w:jc w:val="both"/>
      </w:pPr>
    </w:p>
    <w:p w:rsidR="006B29DA" w:rsidRDefault="006B29DA" w:rsidP="006B29DA">
      <w:pPr>
        <w:pStyle w:val="Paragraphedeliste"/>
        <w:numPr>
          <w:ilvl w:val="0"/>
          <w:numId w:val="3"/>
        </w:numPr>
        <w:spacing w:after="0" w:line="240" w:lineRule="auto"/>
        <w:ind w:left="1210"/>
        <w:jc w:val="both"/>
        <w:rPr>
          <w:b/>
        </w:rPr>
      </w:pPr>
      <w:r>
        <w:rPr>
          <w:b/>
        </w:rPr>
        <w:t>Calendrier</w:t>
      </w:r>
    </w:p>
    <w:p w:rsidR="006B29DA" w:rsidRPr="006126CC" w:rsidRDefault="006B29DA" w:rsidP="006B29DA">
      <w:pPr>
        <w:pStyle w:val="Paragraphedeliste"/>
        <w:spacing w:after="0" w:line="240" w:lineRule="auto"/>
        <w:ind w:left="1440"/>
        <w:jc w:val="both"/>
        <w:rPr>
          <w:b/>
        </w:rPr>
      </w:pPr>
    </w:p>
    <w:p w:rsidR="006B29DA" w:rsidRPr="006A3E96" w:rsidRDefault="006B29DA" w:rsidP="006B29DA">
      <w:pPr>
        <w:pStyle w:val="Paragraphedeliste"/>
        <w:numPr>
          <w:ilvl w:val="0"/>
          <w:numId w:val="2"/>
        </w:numPr>
        <w:spacing w:after="0"/>
        <w:rPr>
          <w:b/>
        </w:rPr>
      </w:pPr>
      <w:bookmarkStart w:id="0" w:name="_GoBack"/>
      <w:r w:rsidRPr="006A3E96">
        <w:rPr>
          <w:b/>
        </w:rPr>
        <w:t>1</w:t>
      </w:r>
      <w:r w:rsidRPr="006A3E96">
        <w:rPr>
          <w:b/>
          <w:vertAlign w:val="superscript"/>
        </w:rPr>
        <w:t>ier</w:t>
      </w:r>
      <w:r w:rsidRPr="006A3E96">
        <w:rPr>
          <w:b/>
        </w:rPr>
        <w:t xml:space="preserve"> phase : Réception des projets par le SIMV</w:t>
      </w:r>
    </w:p>
    <w:p w:rsidR="006B29DA" w:rsidRPr="006A3E96" w:rsidRDefault="006B29DA" w:rsidP="006B29DA">
      <w:pPr>
        <w:spacing w:after="0"/>
      </w:pPr>
      <w:r>
        <w:t>Fin la collecte des projets </w:t>
      </w:r>
      <w:r w:rsidRPr="006A3E96">
        <w:rPr>
          <w:u w:val="single"/>
        </w:rPr>
        <w:t>le 1</w:t>
      </w:r>
      <w:r w:rsidRPr="006A3E96">
        <w:rPr>
          <w:u w:val="single"/>
          <w:vertAlign w:val="superscript"/>
        </w:rPr>
        <w:t>ier</w:t>
      </w:r>
      <w:r w:rsidRPr="006A3E96">
        <w:rPr>
          <w:u w:val="single"/>
        </w:rPr>
        <w:t xml:space="preserve"> juin</w:t>
      </w:r>
      <w:r w:rsidRPr="006A3E96">
        <w:t xml:space="preserve">  </w:t>
      </w:r>
    </w:p>
    <w:bookmarkEnd w:id="0"/>
    <w:p w:rsidR="006B29DA" w:rsidRDefault="006B29DA" w:rsidP="006B29DA">
      <w:pPr>
        <w:spacing w:after="0"/>
      </w:pPr>
      <w:r>
        <w:t xml:space="preserve">Action SIMV : diffusion d’un appel à manifestation d’intérêt d’ici 15j (24 Mars 2017) </w:t>
      </w:r>
    </w:p>
    <w:p w:rsidR="006B29DA" w:rsidRDefault="006B29DA" w:rsidP="006B29DA">
      <w:pPr>
        <w:spacing w:after="0" w:line="259" w:lineRule="auto"/>
      </w:pPr>
    </w:p>
    <w:p w:rsidR="006B29DA" w:rsidRPr="006A3E96" w:rsidRDefault="006B29DA" w:rsidP="006B29DA">
      <w:pPr>
        <w:pStyle w:val="Paragraphedeliste"/>
        <w:numPr>
          <w:ilvl w:val="0"/>
          <w:numId w:val="2"/>
        </w:numPr>
        <w:spacing w:after="0" w:line="259" w:lineRule="auto"/>
        <w:rPr>
          <w:b/>
        </w:rPr>
      </w:pPr>
      <w:r w:rsidRPr="006A3E96">
        <w:rPr>
          <w:b/>
        </w:rPr>
        <w:t>2</w:t>
      </w:r>
      <w:r w:rsidRPr="006A3E96">
        <w:rPr>
          <w:b/>
          <w:vertAlign w:val="superscript"/>
        </w:rPr>
        <w:t>ième</w:t>
      </w:r>
      <w:r w:rsidRPr="006A3E96">
        <w:rPr>
          <w:b/>
        </w:rPr>
        <w:t xml:space="preserve"> phase : Sélection des projets par les industriels </w:t>
      </w:r>
    </w:p>
    <w:p w:rsidR="006B29DA" w:rsidRDefault="006B29DA" w:rsidP="006B29DA">
      <w:pPr>
        <w:spacing w:after="0" w:line="259" w:lineRule="auto"/>
      </w:pPr>
      <w:r>
        <w:t xml:space="preserve">Sélection des projets </w:t>
      </w:r>
      <w:r w:rsidRPr="006A3E96">
        <w:rPr>
          <w:u w:val="single"/>
        </w:rPr>
        <w:t>du 1</w:t>
      </w:r>
      <w:r w:rsidRPr="006A3E96">
        <w:rPr>
          <w:u w:val="single"/>
          <w:vertAlign w:val="superscript"/>
        </w:rPr>
        <w:t>ier</w:t>
      </w:r>
      <w:r w:rsidRPr="006A3E96">
        <w:rPr>
          <w:u w:val="single"/>
        </w:rPr>
        <w:t xml:space="preserve"> juin au 1</w:t>
      </w:r>
      <w:r w:rsidRPr="006A3E96">
        <w:rPr>
          <w:u w:val="single"/>
          <w:vertAlign w:val="superscript"/>
        </w:rPr>
        <w:t>ier</w:t>
      </w:r>
      <w:r w:rsidRPr="006A3E96">
        <w:rPr>
          <w:u w:val="single"/>
        </w:rPr>
        <w:t xml:space="preserve"> septembre</w:t>
      </w:r>
      <w:r>
        <w:t xml:space="preserve"> </w:t>
      </w:r>
    </w:p>
    <w:p w:rsidR="006B29DA" w:rsidRDefault="006B29DA" w:rsidP="006B29DA">
      <w:pPr>
        <w:spacing w:after="0" w:line="259" w:lineRule="auto"/>
      </w:pPr>
    </w:p>
    <w:p w:rsidR="006B29DA" w:rsidRPr="006A3E96" w:rsidRDefault="006B29DA" w:rsidP="006B29DA">
      <w:pPr>
        <w:pStyle w:val="Paragraphedeliste"/>
        <w:numPr>
          <w:ilvl w:val="0"/>
          <w:numId w:val="2"/>
        </w:numPr>
        <w:spacing w:after="0" w:line="259" w:lineRule="auto"/>
        <w:rPr>
          <w:b/>
        </w:rPr>
      </w:pPr>
      <w:r w:rsidRPr="006A3E96">
        <w:rPr>
          <w:b/>
        </w:rPr>
        <w:t>3</w:t>
      </w:r>
      <w:r w:rsidRPr="006A3E96">
        <w:rPr>
          <w:b/>
          <w:vertAlign w:val="superscript"/>
        </w:rPr>
        <w:t>ième</w:t>
      </w:r>
      <w:r w:rsidRPr="006A3E96">
        <w:rPr>
          <w:b/>
        </w:rPr>
        <w:t xml:space="preserve"> phase : Retour sur le choix des industriels </w:t>
      </w:r>
    </w:p>
    <w:p w:rsidR="006B29DA" w:rsidRDefault="006B29DA" w:rsidP="006B29DA">
      <w:pPr>
        <w:spacing w:after="0" w:line="259" w:lineRule="auto"/>
      </w:pPr>
      <w:r>
        <w:t xml:space="preserve">Retour </w:t>
      </w:r>
      <w:r w:rsidRPr="006A3E96">
        <w:rPr>
          <w:u w:val="single"/>
        </w:rPr>
        <w:t>le 15 septembre</w:t>
      </w:r>
      <w:r>
        <w:t xml:space="preserve">. Les organismes de transfert se chargent d’informer les chercheurs et des inscriptions. A noter : Tarif préférentiel pour les SATT et cellules de transfert jusqu’au 30 juin. </w:t>
      </w:r>
    </w:p>
    <w:p w:rsidR="006B29DA" w:rsidRDefault="006B29DA" w:rsidP="006B29DA">
      <w:pPr>
        <w:spacing w:after="0" w:line="259" w:lineRule="auto"/>
        <w:ind w:left="360"/>
      </w:pPr>
    </w:p>
    <w:p w:rsidR="006B29DA" w:rsidRDefault="006B29DA" w:rsidP="006B29DA">
      <w:pPr>
        <w:spacing w:after="0" w:line="259" w:lineRule="auto"/>
        <w:jc w:val="both"/>
      </w:pPr>
      <w:r>
        <w:t xml:space="preserve">Prévoir 2 ou 3 semaines après le 15 septembre pour dialoguer avec les porteurs de projet et leur apporter des précisions. Il est demandé aux industriels d’expliciter les motifs de refus. Possibilité d’établir un code (ex : 1 -hors scope, 2-technique, 3-scientifique…). </w:t>
      </w:r>
    </w:p>
    <w:p w:rsidR="006B29DA" w:rsidRPr="00ED49DC" w:rsidRDefault="006B29DA" w:rsidP="006B29DA">
      <w:pPr>
        <w:spacing w:after="0"/>
      </w:pPr>
    </w:p>
    <w:p w:rsidR="006B29DA" w:rsidRDefault="006B29DA" w:rsidP="006B29DA">
      <w:pPr>
        <w:pStyle w:val="Paragraphedeliste"/>
        <w:numPr>
          <w:ilvl w:val="0"/>
          <w:numId w:val="3"/>
        </w:numPr>
        <w:spacing w:after="0" w:line="240" w:lineRule="auto"/>
        <w:ind w:left="1210"/>
        <w:jc w:val="both"/>
        <w:rPr>
          <w:b/>
        </w:rPr>
      </w:pPr>
      <w:r w:rsidRPr="00C27711">
        <w:rPr>
          <w:b/>
        </w:rPr>
        <w:t xml:space="preserve">Communication </w:t>
      </w:r>
    </w:p>
    <w:p w:rsidR="006B29DA" w:rsidRPr="00C27711" w:rsidRDefault="006B29DA" w:rsidP="006B29DA">
      <w:pPr>
        <w:pStyle w:val="Paragraphedeliste"/>
        <w:spacing w:after="0" w:line="240" w:lineRule="auto"/>
        <w:ind w:left="1210"/>
        <w:jc w:val="both"/>
        <w:rPr>
          <w:b/>
        </w:rPr>
      </w:pPr>
    </w:p>
    <w:p w:rsidR="006B29DA" w:rsidRDefault="006B29DA" w:rsidP="006B29DA">
      <w:pPr>
        <w:spacing w:after="0"/>
        <w:jc w:val="both"/>
      </w:pPr>
      <w:r w:rsidRPr="006C2EB9">
        <w:t>Outils</w:t>
      </w:r>
      <w:r>
        <w:t xml:space="preserve"> dédiés aux RESA :  site internet</w:t>
      </w:r>
      <w:r w:rsidRPr="006C2EB9">
        <w:t xml:space="preserve"> rdd.simv.org</w:t>
      </w:r>
      <w:r>
        <w:t xml:space="preserve"> et adresse mail (communiquée ultérieurement) </w:t>
      </w:r>
    </w:p>
    <w:p w:rsidR="006B29DA" w:rsidRDefault="006B29DA" w:rsidP="006B29DA">
      <w:pPr>
        <w:spacing w:after="0"/>
        <w:jc w:val="both"/>
      </w:pPr>
      <w:r>
        <w:t xml:space="preserve">Action SIMV : adresse générique à réactiver </w:t>
      </w:r>
    </w:p>
    <w:p w:rsidR="006B29DA" w:rsidRPr="00002359" w:rsidRDefault="006B29DA" w:rsidP="006B29DA">
      <w:pPr>
        <w:spacing w:after="0"/>
      </w:pPr>
      <w:r>
        <w:t xml:space="preserve"> </w:t>
      </w:r>
    </w:p>
    <w:p w:rsidR="000A23A8" w:rsidRDefault="006B29DA"/>
    <w:sectPr w:rsidR="000A23A8" w:rsidSect="006B29DA">
      <w:headerReference w:type="default" r:id="rId5"/>
      <w:footerReference w:type="default" r:id="rI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21102"/>
      <w:docPartObj>
        <w:docPartGallery w:val="Page Numbers (Bottom of Page)"/>
        <w:docPartUnique/>
      </w:docPartObj>
    </w:sdtPr>
    <w:sdtEndPr/>
    <w:sdtContent>
      <w:p w:rsidR="006F17FE" w:rsidRDefault="006B29DA">
        <w:pPr>
          <w:pStyle w:val="Pieddepage"/>
          <w:jc w:val="right"/>
        </w:pPr>
        <w:r>
          <w:fldChar w:fldCharType="begin"/>
        </w:r>
        <w:r>
          <w:instrText>PAGE   \* MERGEFORMAT</w:instrText>
        </w:r>
        <w:r>
          <w:fldChar w:fldCharType="separate"/>
        </w:r>
        <w:r>
          <w:rPr>
            <w:noProof/>
          </w:rPr>
          <w:t>1</w:t>
        </w:r>
        <w:r>
          <w:fldChar w:fldCharType="end"/>
        </w:r>
      </w:p>
    </w:sdtContent>
  </w:sdt>
  <w:p w:rsidR="006F17FE" w:rsidRDefault="006B29DA">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FE" w:rsidRPr="00C27711" w:rsidRDefault="006B29DA" w:rsidP="00E94A93">
    <w:pPr>
      <w:pStyle w:val="En-tte"/>
      <w:jc w:val="right"/>
      <w:rPr>
        <w:rFonts w:ascii="Franklin Gothic Demi" w:hAnsi="Franklin Gothic Demi"/>
        <w:b/>
        <w:color w:val="70AD47" w:themeColor="accent6"/>
        <w:sz w:val="28"/>
      </w:rPr>
    </w:pPr>
    <w:r w:rsidRPr="00C27711">
      <w:rPr>
        <w:rFonts w:ascii="Franklin Gothic Demi" w:hAnsi="Franklin Gothic Demi"/>
        <w:b/>
        <w:noProof/>
        <w:color w:val="70AD47" w:themeColor="accent6"/>
        <w:sz w:val="28"/>
        <w:lang w:eastAsia="fr-FR"/>
      </w:rPr>
      <w:drawing>
        <wp:anchor distT="0" distB="0" distL="114300" distR="114300" simplePos="0" relativeHeight="251659264" behindDoc="0" locked="0" layoutInCell="1" allowOverlap="1" wp14:anchorId="57296079" wp14:editId="6966F259">
          <wp:simplePos x="0" y="0"/>
          <wp:positionH relativeFrom="margin">
            <wp:posOffset>-358323</wp:posOffset>
          </wp:positionH>
          <wp:positionV relativeFrom="margin">
            <wp:posOffset>-274955</wp:posOffset>
          </wp:positionV>
          <wp:extent cx="2743200" cy="830580"/>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SA.bmp"/>
                  <pic:cNvPicPr/>
                </pic:nvPicPr>
                <pic:blipFill>
                  <a:blip r:embed="rId1">
                    <a:extLst>
                      <a:ext uri="{28A0092B-C50C-407E-A947-70E740481C1C}">
                        <a14:useLocalDpi xmlns:a14="http://schemas.microsoft.com/office/drawing/2010/main" val="0"/>
                      </a:ext>
                    </a:extLst>
                  </a:blip>
                  <a:stretch>
                    <a:fillRect/>
                  </a:stretch>
                </pic:blipFill>
                <pic:spPr>
                  <a:xfrm>
                    <a:off x="0" y="0"/>
                    <a:ext cx="2743200" cy="830580"/>
                  </a:xfrm>
                  <a:prstGeom prst="rect">
                    <a:avLst/>
                  </a:prstGeom>
                </pic:spPr>
              </pic:pic>
            </a:graphicData>
          </a:graphic>
          <wp14:sizeRelH relativeFrom="margin">
            <wp14:pctWidth>0</wp14:pctWidth>
          </wp14:sizeRelH>
          <wp14:sizeRelV relativeFrom="margin">
            <wp14:pctHeight>0</wp14:pctHeight>
          </wp14:sizeRelV>
        </wp:anchor>
      </w:drawing>
    </w:r>
    <w:r w:rsidRPr="00C27711">
      <w:rPr>
        <w:rFonts w:ascii="Franklin Gothic Demi" w:hAnsi="Franklin Gothic Demi"/>
        <w:b/>
        <w:color w:val="70AD47" w:themeColor="accent6"/>
        <w:sz w:val="28"/>
      </w:rPr>
      <w:t>COPIL des</w:t>
    </w:r>
    <w:r w:rsidRPr="00C27711">
      <w:rPr>
        <w:rFonts w:ascii="Franklin Gothic Demi" w:hAnsi="Franklin Gothic Demi"/>
        <w:b/>
        <w:color w:val="70AD47" w:themeColor="accent6"/>
        <w:sz w:val="28"/>
      </w:rPr>
      <w:t xml:space="preserve"> R</w:t>
    </w:r>
    <w:r w:rsidRPr="00C27711">
      <w:rPr>
        <w:rFonts w:ascii="Franklin Gothic Demi" w:hAnsi="Franklin Gothic Demi"/>
        <w:b/>
        <w:color w:val="70AD47" w:themeColor="accent6"/>
        <w:sz w:val="28"/>
      </w:rPr>
      <w:t>e</w:t>
    </w:r>
    <w:r>
      <w:rPr>
        <w:rFonts w:ascii="Franklin Gothic Demi" w:hAnsi="Franklin Gothic Demi"/>
        <w:b/>
        <w:color w:val="70AD47" w:themeColor="accent6"/>
        <w:sz w:val="28"/>
      </w:rPr>
      <w:t xml:space="preserve">ncontres de recherche en </w:t>
    </w:r>
    <w:r w:rsidRPr="00C27711">
      <w:rPr>
        <w:rFonts w:ascii="Franklin Gothic Demi" w:hAnsi="Franklin Gothic Demi"/>
        <w:b/>
        <w:color w:val="70AD47" w:themeColor="accent6"/>
        <w:sz w:val="28"/>
      </w:rPr>
      <w:t>S</w:t>
    </w:r>
    <w:r>
      <w:rPr>
        <w:rFonts w:ascii="Franklin Gothic Demi" w:hAnsi="Franklin Gothic Demi"/>
        <w:b/>
        <w:color w:val="70AD47" w:themeColor="accent6"/>
        <w:sz w:val="28"/>
      </w:rPr>
      <w:t xml:space="preserve">anté </w:t>
    </w:r>
    <w:r w:rsidRPr="00C27711">
      <w:rPr>
        <w:rFonts w:ascii="Franklin Gothic Demi" w:hAnsi="Franklin Gothic Demi"/>
        <w:b/>
        <w:color w:val="70AD47" w:themeColor="accent6"/>
        <w:sz w:val="28"/>
      </w:rPr>
      <w:t>A</w:t>
    </w:r>
    <w:r>
      <w:rPr>
        <w:rFonts w:ascii="Franklin Gothic Demi" w:hAnsi="Franklin Gothic Demi"/>
        <w:b/>
        <w:color w:val="70AD47" w:themeColor="accent6"/>
        <w:sz w:val="28"/>
      </w:rPr>
      <w:t>nimale</w:t>
    </w:r>
  </w:p>
  <w:p w:rsidR="006F17FE" w:rsidRPr="00E94A93" w:rsidRDefault="006B29DA" w:rsidP="00E94A93">
    <w:pPr>
      <w:pStyle w:val="En-tte"/>
      <w:jc w:val="right"/>
      <w:rPr>
        <w:rFonts w:ascii="Franklin Gothic Demi" w:hAnsi="Franklin Gothic Demi"/>
        <w:color w:val="0070C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2A78"/>
    <w:multiLevelType w:val="hybridMultilevel"/>
    <w:tmpl w:val="F3EC66B0"/>
    <w:lvl w:ilvl="0" w:tplc="CA8AAC46">
      <w:start w:val="2"/>
      <w:numFmt w:val="decimal"/>
      <w:lvlText w:val="%1."/>
      <w:lvlJc w:val="left"/>
      <w:pPr>
        <w:ind w:left="720" w:hanging="360"/>
      </w:pPr>
      <w:rPr>
        <w:rFonts w:hint="default"/>
        <w:color w:val="595959" w:themeColor="text1" w:themeTint="A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986C47"/>
    <w:multiLevelType w:val="hybridMultilevel"/>
    <w:tmpl w:val="5652E9F6"/>
    <w:lvl w:ilvl="0" w:tplc="C9FC8590">
      <w:start w:val="2"/>
      <w:numFmt w:val="bullet"/>
      <w:lvlText w:val="-"/>
      <w:lvlJc w:val="left"/>
      <w:pPr>
        <w:ind w:left="720" w:hanging="360"/>
      </w:pPr>
      <w:rPr>
        <w:rFonts w:ascii="Franklin Gothic Book" w:eastAsia="Times New Roman"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AE7364"/>
    <w:multiLevelType w:val="hybridMultilevel"/>
    <w:tmpl w:val="88802382"/>
    <w:lvl w:ilvl="0" w:tplc="62B67AE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DA"/>
    <w:rsid w:val="00090C3B"/>
    <w:rsid w:val="006B29DA"/>
    <w:rsid w:val="00883446"/>
    <w:rsid w:val="00AF04EC"/>
    <w:rsid w:val="00BC7B70"/>
    <w:rsid w:val="00F97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A995"/>
  <w15:chartTrackingRefBased/>
  <w15:docId w15:val="{C764F593-4A5F-41BD-9683-7ABADAD4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29DA"/>
    <w:pPr>
      <w:spacing w:after="200" w:line="276" w:lineRule="auto"/>
    </w:pPr>
    <w:rPr>
      <w:rFonts w:ascii="Franklin Gothic Book" w:eastAsia="Times New Roman" w:hAnsi="Franklin Gothic Book" w:cs="Times New Roman"/>
    </w:rPr>
  </w:style>
  <w:style w:type="paragraph" w:styleId="Titre1">
    <w:name w:val="heading 1"/>
    <w:basedOn w:val="Normal"/>
    <w:next w:val="Normal"/>
    <w:link w:val="Titre1Car"/>
    <w:uiPriority w:val="9"/>
    <w:qFormat/>
    <w:rsid w:val="006B29DA"/>
    <w:pPr>
      <w:keepNext/>
      <w:keepLines/>
      <w:spacing w:before="480" w:after="0"/>
      <w:outlineLvl w:val="0"/>
    </w:pPr>
    <w:rPr>
      <w:rFonts w:eastAsiaTheme="majorEastAsia" w:cstheme="majorBidi"/>
      <w:b/>
      <w:bCs/>
      <w:color w:val="008AC2"/>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29DA"/>
    <w:rPr>
      <w:rFonts w:ascii="Franklin Gothic Book" w:eastAsiaTheme="majorEastAsia" w:hAnsi="Franklin Gothic Book" w:cstheme="majorBidi"/>
      <w:b/>
      <w:bCs/>
      <w:color w:val="008AC2"/>
      <w:sz w:val="24"/>
      <w:szCs w:val="28"/>
    </w:rPr>
  </w:style>
  <w:style w:type="paragraph" w:styleId="En-tte">
    <w:name w:val="header"/>
    <w:basedOn w:val="Normal"/>
    <w:link w:val="En-tteCar"/>
    <w:uiPriority w:val="99"/>
    <w:unhideWhenUsed/>
    <w:rsid w:val="006B29DA"/>
    <w:pPr>
      <w:tabs>
        <w:tab w:val="center" w:pos="4536"/>
        <w:tab w:val="right" w:pos="9072"/>
      </w:tabs>
      <w:spacing w:after="0" w:line="240" w:lineRule="auto"/>
    </w:pPr>
  </w:style>
  <w:style w:type="character" w:customStyle="1" w:styleId="En-tteCar">
    <w:name w:val="En-tête Car"/>
    <w:basedOn w:val="Policepardfaut"/>
    <w:link w:val="En-tte"/>
    <w:uiPriority w:val="99"/>
    <w:rsid w:val="006B29DA"/>
    <w:rPr>
      <w:rFonts w:ascii="Franklin Gothic Book" w:eastAsia="Times New Roman" w:hAnsi="Franklin Gothic Book" w:cs="Times New Roman"/>
    </w:rPr>
  </w:style>
  <w:style w:type="paragraph" w:styleId="Pieddepage">
    <w:name w:val="footer"/>
    <w:basedOn w:val="Normal"/>
    <w:link w:val="PieddepageCar"/>
    <w:uiPriority w:val="99"/>
    <w:unhideWhenUsed/>
    <w:rsid w:val="006B29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9DA"/>
    <w:rPr>
      <w:rFonts w:ascii="Franklin Gothic Book" w:eastAsia="Times New Roman" w:hAnsi="Franklin Gothic Book" w:cs="Times New Roman"/>
    </w:rPr>
  </w:style>
  <w:style w:type="paragraph" w:styleId="Paragraphedeliste">
    <w:name w:val="List Paragraph"/>
    <w:basedOn w:val="Normal"/>
    <w:uiPriority w:val="34"/>
    <w:qFormat/>
    <w:rsid w:val="006B2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BRUGEROLLES</dc:creator>
  <cp:keywords/>
  <dc:description/>
  <cp:lastModifiedBy>Claire BRUGEROLLES</cp:lastModifiedBy>
  <cp:revision>1</cp:revision>
  <dcterms:created xsi:type="dcterms:W3CDTF">2017-05-16T08:52:00Z</dcterms:created>
  <dcterms:modified xsi:type="dcterms:W3CDTF">2017-05-16T08:55:00Z</dcterms:modified>
</cp:coreProperties>
</file>