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Owkin clôture sa série A avec un total de 70 millions de dollars levés pour accélérer le déploiement de l’apprentissage fédéré appliqué à la recherche médicale. </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color w:val="0e101a"/>
          <w:sz w:val="20"/>
          <w:szCs w:val="20"/>
        </w:rPr>
      </w:pPr>
      <w:r w:rsidDel="00000000" w:rsidR="00000000" w:rsidRPr="00000000">
        <w:rPr>
          <w:rFonts w:ascii="Arial" w:cs="Arial" w:eastAsia="Arial" w:hAnsi="Arial"/>
          <w:b w:val="1"/>
          <w:color w:val="0e101a"/>
          <w:sz w:val="20"/>
          <w:szCs w:val="20"/>
          <w:rtl w:val="0"/>
        </w:rPr>
        <w:t xml:space="preserve">Cette</w:t>
      </w:r>
      <w:r w:rsidDel="00000000" w:rsidR="00000000" w:rsidRPr="00000000">
        <w:rPr>
          <w:rFonts w:ascii="Arial" w:cs="Arial" w:eastAsia="Arial" w:hAnsi="Arial"/>
          <w:b w:val="1"/>
          <w:color w:val="0e101a"/>
          <w:sz w:val="20"/>
          <w:szCs w:val="20"/>
          <w:rtl w:val="0"/>
        </w:rPr>
        <w:t xml:space="preserve"> série A se conclut par un investissement de 18 millions de dollars de Mubadala Capital, la branche de gestion d'actifs de Mubadala Investment Company, et du fonds Large Venture de Bpifrance. </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color w:val="0e101a"/>
          <w:sz w:val="20"/>
          <w:szCs w:val="20"/>
        </w:rPr>
      </w:pPr>
      <w:r w:rsidDel="00000000" w:rsidR="00000000" w:rsidRPr="00000000">
        <w:rPr>
          <w:rFonts w:ascii="Arial" w:cs="Arial" w:eastAsia="Arial" w:hAnsi="Arial"/>
          <w:b w:val="1"/>
          <w:color w:val="0e101a"/>
          <w:sz w:val="20"/>
          <w:szCs w:val="20"/>
          <w:rtl w:val="0"/>
        </w:rPr>
        <w:t xml:space="preserve">Ce financement permettra à Owkin d'accélérer la fédération de son écosystème de recherche et de continuer à multiplier les passerelles entre chercheurs et industrie pharmaceutique.</w:t>
      </w:r>
      <w:r w:rsidDel="00000000" w:rsidR="00000000" w:rsidRPr="00000000">
        <w:rPr>
          <w:rtl w:val="0"/>
        </w:rPr>
      </w:r>
    </w:p>
    <w:p w:rsidR="00000000" w:rsidDel="00000000" w:rsidP="00000000" w:rsidRDefault="00000000" w:rsidRPr="00000000" w14:paraId="00000004">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New York, NY &amp; Paris, France - 30 juin 2020 - Owkin, startup appliquant les technologies d'apprentissage fédéré à la recherche médicale, annonce un financement de 18 millions de dollars de Mubadala Capital et de Bpifrance par le biais de son fonds Large Venture. Cette nouvelle extension de la série A porte le montant total de la levée de fonds à 70 millions de dollars.</w:t>
      </w:r>
      <w:r w:rsidDel="00000000" w:rsidR="00000000" w:rsidRPr="00000000">
        <w:rPr>
          <w:rtl w:val="0"/>
        </w:rPr>
      </w:r>
    </w:p>
    <w:p w:rsidR="00000000" w:rsidDel="00000000" w:rsidP="00000000" w:rsidRDefault="00000000" w:rsidRPr="00000000" w14:paraId="00000006">
      <w:pPr>
        <w:jc w:val="both"/>
        <w:rPr>
          <w:rFonts w:ascii="Arial" w:cs="Arial" w:eastAsia="Arial" w:hAnsi="Arial"/>
          <w:color w:val="0e101a"/>
          <w:sz w:val="20"/>
          <w:szCs w:val="20"/>
        </w:rPr>
      </w:pPr>
      <w:r w:rsidDel="00000000" w:rsidR="00000000" w:rsidRPr="00000000">
        <w:rPr>
          <w:rFonts w:ascii="Arial" w:cs="Arial" w:eastAsia="Arial" w:hAnsi="Arial"/>
          <w:sz w:val="20"/>
          <w:szCs w:val="20"/>
          <w:highlight w:val="white"/>
          <w:rtl w:val="0"/>
        </w:rPr>
        <w:t xml:space="preserve">La prise de participation de Mubadala Capital s’appuie sur son expertise d’investisseur early-stage dans le domaine des sciences du vivant et des technologies de la santé, ainsi que sur son partenariat stratégique avec Bpifrance. Mubadala rejoint ainsi les autres investisseurs de la série A d'Owkin : Bpifrance, par l'intermédiaire de son fonds</w:t>
      </w:r>
      <w:r w:rsidDel="00000000" w:rsidR="00000000" w:rsidRPr="00000000">
        <w:rPr>
          <w:rFonts w:ascii="Arial" w:cs="Arial" w:eastAsia="Arial" w:hAnsi="Arial"/>
          <w:sz w:val="20"/>
          <w:szCs w:val="20"/>
          <w:rtl w:val="0"/>
        </w:rPr>
        <w:t xml:space="preserve"> </w:t>
      </w:r>
      <w:hyperlink r:id="rId6">
        <w:r w:rsidDel="00000000" w:rsidR="00000000" w:rsidRPr="00000000">
          <w:rPr>
            <w:rFonts w:ascii="Arial" w:cs="Arial" w:eastAsia="Arial" w:hAnsi="Arial"/>
            <w:color w:val="0563c1"/>
            <w:sz w:val="20"/>
            <w:szCs w:val="20"/>
            <w:u w:val="single"/>
            <w:rtl w:val="0"/>
          </w:rPr>
          <w:t xml:space="preserve">Large Venture fund</w:t>
        </w:r>
      </w:hyperlink>
      <w:r w:rsidDel="00000000" w:rsidR="00000000" w:rsidRPr="00000000">
        <w:rPr>
          <w:rFonts w:ascii="Arial" w:cs="Arial" w:eastAsia="Arial" w:hAnsi="Arial"/>
          <w:sz w:val="20"/>
          <w:szCs w:val="20"/>
          <w:rtl w:val="0"/>
        </w:rPr>
        <w:t xml:space="preserve">, </w:t>
      </w:r>
      <w:hyperlink r:id="rId7">
        <w:r w:rsidDel="00000000" w:rsidR="00000000" w:rsidRPr="00000000">
          <w:rPr>
            <w:rFonts w:ascii="Arial" w:cs="Arial" w:eastAsia="Arial" w:hAnsi="Arial"/>
            <w:color w:val="0563c1"/>
            <w:sz w:val="20"/>
            <w:szCs w:val="20"/>
            <w:u w:val="single"/>
            <w:rtl w:val="0"/>
          </w:rPr>
          <w:t xml:space="preserve">Cathay Innovation</w:t>
        </w:r>
      </w:hyperlink>
      <w:r w:rsidDel="00000000" w:rsidR="00000000" w:rsidRPr="00000000">
        <w:rPr>
          <w:rFonts w:ascii="Arial" w:cs="Arial" w:eastAsia="Arial" w:hAnsi="Arial"/>
          <w:sz w:val="20"/>
          <w:szCs w:val="20"/>
          <w:u w:val="single"/>
          <w:rtl w:val="0"/>
        </w:rPr>
        <w:t xml:space="preserve">,</w:t>
      </w:r>
      <w:r w:rsidDel="00000000" w:rsidR="00000000" w:rsidRPr="00000000">
        <w:rPr>
          <w:rFonts w:ascii="Arial" w:cs="Arial" w:eastAsia="Arial" w:hAnsi="Arial"/>
          <w:sz w:val="20"/>
          <w:szCs w:val="20"/>
          <w:rtl w:val="0"/>
        </w:rPr>
        <w:t xml:space="preserve"> </w:t>
      </w:r>
      <w:hyperlink r:id="rId8">
        <w:r w:rsidDel="00000000" w:rsidR="00000000" w:rsidRPr="00000000">
          <w:rPr>
            <w:rFonts w:ascii="Arial" w:cs="Arial" w:eastAsia="Arial" w:hAnsi="Arial"/>
            <w:color w:val="0563c1"/>
            <w:sz w:val="20"/>
            <w:szCs w:val="20"/>
            <w:u w:val="single"/>
            <w:rtl w:val="0"/>
          </w:rPr>
          <w:t xml:space="preserve">MACSF</w:t>
        </w:r>
      </w:hyperlink>
      <w:r w:rsidDel="00000000" w:rsidR="00000000" w:rsidRPr="00000000">
        <w:rPr>
          <w:rFonts w:ascii="Arial" w:cs="Arial" w:eastAsia="Arial" w:hAnsi="Arial"/>
          <w:sz w:val="20"/>
          <w:szCs w:val="20"/>
          <w:rtl w:val="0"/>
        </w:rPr>
        <w:t xml:space="preserve">, </w:t>
      </w:r>
      <w:hyperlink r:id="rId9">
        <w:r w:rsidDel="00000000" w:rsidR="00000000" w:rsidRPr="00000000">
          <w:rPr>
            <w:rFonts w:ascii="Arial" w:cs="Arial" w:eastAsia="Arial" w:hAnsi="Arial"/>
            <w:color w:val="0563c1"/>
            <w:sz w:val="20"/>
            <w:szCs w:val="20"/>
            <w:u w:val="single"/>
            <w:rtl w:val="0"/>
          </w:rPr>
          <w:t xml:space="preserve">GV</w:t>
        </w:r>
      </w:hyperlink>
      <w:hyperlink r:id="rId10">
        <w:r w:rsidDel="00000000" w:rsidR="00000000" w:rsidRPr="00000000">
          <w:rPr>
            <w:rFonts w:ascii="Arial" w:cs="Arial" w:eastAsia="Arial" w:hAnsi="Arial"/>
            <w:sz w:val="20"/>
            <w:szCs w:val="20"/>
            <w:u w:val="single"/>
            <w:rtl w:val="0"/>
          </w:rPr>
          <w:t xml:space="preserve">,</w:t>
        </w:r>
      </w:hyperlink>
      <w:r w:rsidDel="00000000" w:rsidR="00000000" w:rsidRPr="00000000">
        <w:rPr>
          <w:rFonts w:ascii="Arial" w:cs="Arial" w:eastAsia="Arial" w:hAnsi="Arial"/>
          <w:sz w:val="20"/>
          <w:szCs w:val="20"/>
          <w:rtl w:val="0"/>
        </w:rPr>
        <w:t xml:space="preserve"> </w:t>
      </w:r>
      <w:hyperlink r:id="rId11">
        <w:r w:rsidDel="00000000" w:rsidR="00000000" w:rsidRPr="00000000">
          <w:rPr>
            <w:rFonts w:ascii="Arial" w:cs="Arial" w:eastAsia="Arial" w:hAnsi="Arial"/>
            <w:color w:val="0563c1"/>
            <w:sz w:val="20"/>
            <w:szCs w:val="20"/>
            <w:u w:val="single"/>
            <w:rtl w:val="0"/>
          </w:rPr>
          <w:t xml:space="preserve">F-Prime Capital</w:t>
        </w:r>
      </w:hyperlink>
      <w:r w:rsidDel="00000000" w:rsidR="00000000" w:rsidRPr="00000000">
        <w:rPr>
          <w:rFonts w:ascii="Arial" w:cs="Arial" w:eastAsia="Arial" w:hAnsi="Arial"/>
          <w:sz w:val="20"/>
          <w:szCs w:val="20"/>
          <w:rtl w:val="0"/>
        </w:rPr>
        <w:t xml:space="preserve">, </w:t>
      </w:r>
      <w:hyperlink r:id="rId12">
        <w:r w:rsidDel="00000000" w:rsidR="00000000" w:rsidRPr="00000000">
          <w:rPr>
            <w:rFonts w:ascii="Arial" w:cs="Arial" w:eastAsia="Arial" w:hAnsi="Arial"/>
            <w:color w:val="0563c1"/>
            <w:sz w:val="20"/>
            <w:szCs w:val="20"/>
            <w:u w:val="single"/>
            <w:rtl w:val="0"/>
          </w:rPr>
          <w:t xml:space="preserve">Eight Roads</w:t>
        </w:r>
      </w:hyperlink>
      <w:r w:rsidDel="00000000" w:rsidR="00000000" w:rsidRPr="00000000">
        <w:rPr>
          <w:rFonts w:ascii="Arial" w:cs="Arial" w:eastAsia="Arial" w:hAnsi="Arial"/>
          <w:sz w:val="20"/>
          <w:szCs w:val="20"/>
          <w:rtl w:val="0"/>
        </w:rPr>
        <w:t xml:space="preserve">, </w:t>
      </w:r>
      <w:hyperlink r:id="rId13">
        <w:r w:rsidDel="00000000" w:rsidR="00000000" w:rsidRPr="00000000">
          <w:rPr>
            <w:rFonts w:ascii="Arial" w:cs="Arial" w:eastAsia="Arial" w:hAnsi="Arial"/>
            <w:color w:val="0563c1"/>
            <w:sz w:val="20"/>
            <w:szCs w:val="20"/>
            <w:u w:val="single"/>
            <w:rtl w:val="0"/>
          </w:rPr>
          <w:t xml:space="preserve">Frst</w:t>
        </w:r>
      </w:hyperlink>
      <w:r w:rsidDel="00000000" w:rsidR="00000000" w:rsidRPr="00000000">
        <w:rPr>
          <w:rFonts w:ascii="Arial" w:cs="Arial" w:eastAsia="Arial" w:hAnsi="Arial"/>
          <w:sz w:val="20"/>
          <w:szCs w:val="20"/>
          <w:rtl w:val="0"/>
        </w:rPr>
        <w:t xml:space="preserve">, and </w:t>
      </w:r>
      <w:hyperlink r:id="rId14">
        <w:r w:rsidDel="00000000" w:rsidR="00000000" w:rsidRPr="00000000">
          <w:rPr>
            <w:rFonts w:ascii="Arial" w:cs="Arial" w:eastAsia="Arial" w:hAnsi="Arial"/>
            <w:color w:val="0563c1"/>
            <w:sz w:val="20"/>
            <w:szCs w:val="20"/>
            <w:u w:val="single"/>
            <w:rtl w:val="0"/>
          </w:rPr>
          <w:t xml:space="preserve">NJF Capital</w:t>
        </w:r>
      </w:hyperlink>
      <w:r w:rsidDel="00000000" w:rsidR="00000000" w:rsidRPr="00000000">
        <w:rPr>
          <w:rFonts w:ascii="Arial" w:cs="Arial" w:eastAsia="Arial" w:hAnsi="Arial"/>
          <w:color w:val="0e101a"/>
          <w:sz w:val="20"/>
          <w:szCs w:val="20"/>
          <w:rtl w:val="0"/>
        </w:rPr>
        <w:t xml:space="preserve">.</w:t>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pandémie de COVID-19 a souligné l'impératif d'un accès fiable à des données médicales de grande qualité et l’importance de la recherche collaborative. La plateforme d'Owkin permet de connecter scientifiques, cliniciens, chercheurs universitaires et entreprises pharmaceutiques, et leur donne accès à ses technologies d'Intelligence Artificielle (IA) multimodales et interprétables. L'écosystème d’Owkin transforme la recherche médicale et fait évoluer celle-ci d’un cadre cloisonné et disjoint vers un système porté sur l’innovation et l’interconnection tout en assurant la protection des données des patients.</w:t>
      </w:r>
    </w:p>
    <w:p w:rsidR="00000000" w:rsidDel="00000000" w:rsidP="00000000" w:rsidRDefault="00000000" w:rsidRPr="00000000" w14:paraId="00000008">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Thomas Clozel, co-fondateur et PDG d'Owkin, déclare : " Nous sommes en train de changer le monde de la recherche médicale. Nous sommes fiers de briser les barrières existantes et d'augmenter les capacités des chercheurs. Les découvertes d’Owkin - biomarqueurs multimodaux et mécanismes d’action - modifient la façon dont les sociétés pharmaceutiques abordent le développement des médicaments et la façon dont les cliniciens élaborent les protocoles de soin pour les patients".</w:t>
      </w:r>
    </w:p>
    <w:p w:rsidR="00000000" w:rsidDel="00000000" w:rsidP="00000000" w:rsidRDefault="00000000" w:rsidRPr="00000000" w14:paraId="00000009">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Ibrahim Ajami, directeur de l'investissement chez Mubadala Capital, commente : "Owkin est en train de créer un réseau mondial sans précédent qui connecte l'écosystème de la recherche médicale, et permet ainsi aux entreprises pharmaceutiques d'accéder à des données de grande qualité pour d'améliorer leurs processus de R&amp;D. Owkin a tout ce que nous recherchons dans une startup : une équipe solide pour résoudre un problème vaste et complexe, et des technologies de pointe. Nous sommes ravis de nous associer à Thomas et à son équipe dans l’accomplissement de leur mission : révolutionner la recherche médicale et améliorer les soins pour les patients".</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Laurent Higueret, directeur de l'investissement chez Bpifrance Large Venture, ajoute : "Ce deuxième investissement de Large Venture dans Owkin, quelques semaines seulement après le premier, montre tout l’engagement de Bpifrance à soutenir la société dans son ambition de fournir aux patients de meilleurs médicaments, plus rapidement, tout en réduisant les coûts de R&amp;D des entreprises pharmaceutiques et biotechnologiques. Owkin dispose désormais des ressources et des partenaires nécessaires pour se positionner comme un leader incontestable dans le domaine de l'IA pour la recherche biomédicale. Nous sommes également ravis de faire équipe avec Mubadala Capital pour leur première prise de participation directe en France et de capitaliser plus encore sur le partenariat stratégique qui nous unit à eux".</w:t>
      </w: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réseau de recherche mondial d'Owkin est alimenté par l’</w:t>
      </w:r>
      <w:hyperlink r:id="rId15">
        <w:r w:rsidDel="00000000" w:rsidR="00000000" w:rsidRPr="00000000">
          <w:rPr>
            <w:rFonts w:ascii="Arial" w:cs="Arial" w:eastAsia="Arial" w:hAnsi="Arial"/>
            <w:b w:val="1"/>
            <w:color w:val="0563c1"/>
            <w:sz w:val="20"/>
            <w:szCs w:val="20"/>
            <w:u w:val="single"/>
            <w:rtl w:val="0"/>
          </w:rPr>
          <w:t xml:space="preserve">apprentissage fédéré</w:t>
        </w:r>
      </w:hyperlink>
      <w:r w:rsidDel="00000000" w:rsidR="00000000" w:rsidRPr="00000000">
        <w:rPr>
          <w:rFonts w:ascii="Arial" w:cs="Arial" w:eastAsia="Arial" w:hAnsi="Arial"/>
          <w:sz w:val="20"/>
          <w:szCs w:val="20"/>
          <w:rtl w:val="0"/>
        </w:rPr>
        <w:t xml:space="preserve">, une technologie de machine learning qui permet aux scientifiques d'entraîner des modèles de pointe en IA sur des données distribuées, tout en protégeant la confidentialité et la sécurité des données en les maintenant à leur emplacement d'origine. Grâce à l’apprentissage fédéré, créer un modèle d’IA performant ne nécessite plus de centraliser les données. Owkin est le pionnier de l'apprentissage fédéré appliqué au domaine de la santé, et coordonne deux consortiums : </w:t>
      </w:r>
      <w:hyperlink r:id="rId16">
        <w:r w:rsidDel="00000000" w:rsidR="00000000" w:rsidRPr="00000000">
          <w:rPr>
            <w:rFonts w:ascii="Arial" w:cs="Arial" w:eastAsia="Arial" w:hAnsi="Arial"/>
            <w:color w:val="0563c1"/>
            <w:sz w:val="20"/>
            <w:szCs w:val="20"/>
            <w:u w:val="single"/>
            <w:rtl w:val="0"/>
          </w:rPr>
          <w:t xml:space="preserve">MELLODDY</w:t>
        </w:r>
      </w:hyperlink>
      <w:r w:rsidDel="00000000" w:rsidR="00000000" w:rsidRPr="00000000">
        <w:rPr>
          <w:rFonts w:ascii="Arial" w:cs="Arial" w:eastAsia="Arial" w:hAnsi="Arial"/>
          <w:sz w:val="20"/>
          <w:szCs w:val="20"/>
          <w:rtl w:val="0"/>
        </w:rPr>
        <w:t xml:space="preserve"> (avec dix sociétés pharmaceutiques) et </w:t>
      </w:r>
      <w:hyperlink r:id="rId17">
        <w:r w:rsidDel="00000000" w:rsidR="00000000" w:rsidRPr="00000000">
          <w:rPr>
            <w:rFonts w:ascii="Arial" w:cs="Arial" w:eastAsia="Arial" w:hAnsi="Arial"/>
            <w:color w:val="0563c1"/>
            <w:sz w:val="20"/>
            <w:szCs w:val="20"/>
            <w:u w:val="single"/>
            <w:rtl w:val="0"/>
          </w:rPr>
          <w:t xml:space="preserve">HealthChain</w:t>
        </w:r>
      </w:hyperlink>
      <w:r w:rsidDel="00000000" w:rsidR="00000000" w:rsidRPr="00000000">
        <w:rPr>
          <w:rFonts w:ascii="Arial" w:cs="Arial" w:eastAsia="Arial" w:hAnsi="Arial"/>
          <w:sz w:val="20"/>
          <w:szCs w:val="20"/>
          <w:rtl w:val="0"/>
        </w:rPr>
        <w:t xml:space="preserve"> (avec quatre centres hospitaliers). Owkin déploie également cette technologie de recherche fédérée au sein des hôpitaux et avec les experts médicaux faisant partie du réseau </w:t>
      </w:r>
      <w:hyperlink r:id="rId18">
        <w:r w:rsidDel="00000000" w:rsidR="00000000" w:rsidRPr="00000000">
          <w:rPr>
            <w:rFonts w:ascii="Arial" w:cs="Arial" w:eastAsia="Arial" w:hAnsi="Arial"/>
            <w:b w:val="1"/>
            <w:color w:val="0563c1"/>
            <w:sz w:val="20"/>
            <w:szCs w:val="20"/>
            <w:u w:val="single"/>
            <w:rtl w:val="0"/>
          </w:rPr>
          <w:t xml:space="preserve">Owkin Loop</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Grâce à l'application de cette technologie, Owkin permet aux chercheurs de tirer des enseignements de ces données multicentriques de grande qualité, longitudinales, multimodales et mises en valeur par son réseau d’expert médicaux, tout en conservant les données des patients en toute sécurité au sein de l'infrastructure informatique de l'hôpital. La plateforme </w:t>
      </w:r>
      <w:hyperlink r:id="rId19">
        <w:r w:rsidDel="00000000" w:rsidR="00000000" w:rsidRPr="00000000">
          <w:rPr>
            <w:rFonts w:ascii="Arial" w:cs="Arial" w:eastAsia="Arial" w:hAnsi="Arial"/>
            <w:b w:val="1"/>
            <w:color w:val="0563c1"/>
            <w:sz w:val="20"/>
            <w:szCs w:val="20"/>
            <w:u w:val="single"/>
            <w:rtl w:val="0"/>
          </w:rPr>
          <w:t xml:space="preserve">Owkin Studio</w:t>
        </w:r>
      </w:hyperlink>
      <w:r w:rsidDel="00000000" w:rsidR="00000000" w:rsidRPr="00000000">
        <w:rPr>
          <w:rFonts w:ascii="Arial" w:cs="Arial" w:eastAsia="Arial" w:hAnsi="Arial"/>
          <w:sz w:val="20"/>
          <w:szCs w:val="20"/>
          <w:rtl w:val="0"/>
        </w:rPr>
        <w:t xml:space="preserve"> intègre images biomédicales, données génomiques et données cliniques pour trouver de nouveaux biomarqueurs et mécanismes associés à l'évolution de la maladie et à l’efficacité des traitements. Ces technologies vont permettre à la prochaine génération de médicaments d’émerger. Finalement, l’IA développée par Owkin amène à une accélération du processus de recherche clinique; en offrant un haut niveau de protection des données des patients, une traçabilité des algorithmes pour les hôpitaux et une collaboration de qualité pour les chercheurs.</w:t>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À propos de la société d'investissement Mubadala</w:t>
      </w: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Mubadala Investment Company est le fonds souverain du gouvernement d'Abu Dhabi.</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portefeuille de Mubadala, d'une valeur de 229 milliards de dollars US, s'étend sur les cinq continents avec des participations dans de multiples secteurs, notamment l'aérospatial, les technologies de l’information et de la communication, les semi-conducteurs, les métaux et les mines, les énergies renouvelables, le pétrole et le gaz, la pétrochimie, les services publics, la santé, l'immobilier, les produits pharmaceutiques et les technologies médicales, l'agroalimentaire, ainsi que participations financières dans toutes les catégories d'actifs.</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Mubadala Capital a été créé en 2011 en tant que branche de gestion d'actifs de Mubadala Investment Company. Le fonds regroupe six entreprises axées sur différentes classes d'actifs et zones géographiques: le capital-investissement, les actions publiques, le crédit, les entreprises, les partenariats de fonds souverain et le Brésil. Le groupe investit dans le monde entier dans des titres publics et privés. En plus de gérer ses propres investissements, Mubadala Capital gère des capitaux tiers pour le compte d'investisseurs institutionnels dans quatre de ses entreprises.</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2017, Mubadala Capital a lancé un fonds de capital-risque de 400 millions de dollars basé à San Francisco pour investir dans des entreprises américaines. En 2019 sont lancés un fonds de capital-risque de 400 millions d'euros à vocation européenne basé à Londres et un fonds de 100 millions de dollars à vocation régionale (MENA) basé au Hub71 d'Abu Dhabi. Mubadala Capital soutient des fondateurs visionnaires et leurs entreprises tout au long du cycle de croissance. </w:t>
      </w:r>
    </w:p>
    <w:p w:rsidR="00000000" w:rsidDel="00000000" w:rsidP="00000000" w:rsidRDefault="00000000" w:rsidRPr="00000000" w14:paraId="00000014">
      <w:pPr>
        <w:jc w:val="both"/>
        <w:rPr>
          <w:rFonts w:ascii="Arial" w:cs="Arial" w:eastAsia="Arial" w:hAnsi="Arial"/>
          <w:color w:val="0563c1"/>
          <w:sz w:val="20"/>
          <w:szCs w:val="20"/>
        </w:rPr>
      </w:pPr>
      <w:r w:rsidDel="00000000" w:rsidR="00000000" w:rsidRPr="00000000">
        <w:rPr>
          <w:rFonts w:ascii="Arial" w:cs="Arial" w:eastAsia="Arial" w:hAnsi="Arial"/>
          <w:sz w:val="20"/>
          <w:szCs w:val="20"/>
          <w:rtl w:val="0"/>
        </w:rPr>
        <w:t xml:space="preserve">Pour plus d'informations, veuillez consulter le site </w:t>
      </w:r>
      <w:hyperlink r:id="rId20">
        <w:r w:rsidDel="00000000" w:rsidR="00000000" w:rsidRPr="00000000">
          <w:rPr>
            <w:rFonts w:ascii="Arial" w:cs="Arial" w:eastAsia="Arial" w:hAnsi="Arial"/>
            <w:color w:val="0563c1"/>
            <w:sz w:val="20"/>
            <w:szCs w:val="20"/>
            <w:u w:val="single"/>
            <w:rtl w:val="0"/>
          </w:rPr>
          <w:t xml:space="preserve">www.mubadala.com</w:t>
        </w:r>
      </w:hyperlink>
      <w:r w:rsidDel="00000000" w:rsidR="00000000" w:rsidRPr="00000000">
        <w:rPr>
          <w:rFonts w:ascii="Arial" w:cs="Arial" w:eastAsia="Arial" w:hAnsi="Arial"/>
          <w:sz w:val="20"/>
          <w:szCs w:val="20"/>
          <w:rtl w:val="0"/>
        </w:rPr>
        <w:t xml:space="preserve">, suivre </w:t>
      </w:r>
      <w:r w:rsidDel="00000000" w:rsidR="00000000" w:rsidRPr="00000000">
        <w:rPr>
          <w:rFonts w:ascii="Arial" w:cs="Arial" w:eastAsia="Arial" w:hAnsi="Arial"/>
          <w:color w:val="0e101a"/>
          <w:sz w:val="20"/>
          <w:szCs w:val="20"/>
          <w:rtl w:val="0"/>
        </w:rPr>
        <w:t xml:space="preserve">@mubadala</w:t>
      </w:r>
      <w:r w:rsidDel="00000000" w:rsidR="00000000" w:rsidRPr="00000000">
        <w:rPr>
          <w:rFonts w:ascii="Arial" w:cs="Arial" w:eastAsia="Arial" w:hAnsi="Arial"/>
          <w:sz w:val="20"/>
          <w:szCs w:val="20"/>
          <w:rtl w:val="0"/>
        </w:rPr>
        <w:t xml:space="preserve"> sur Twitter, ou contacter </w:t>
      </w:r>
      <w:r w:rsidDel="00000000" w:rsidR="00000000" w:rsidRPr="00000000">
        <w:rPr>
          <w:rFonts w:ascii="Arial" w:cs="Arial" w:eastAsia="Arial" w:hAnsi="Arial"/>
          <w:color w:val="0e101a"/>
          <w:sz w:val="20"/>
          <w:szCs w:val="20"/>
          <w:rtl w:val="0"/>
        </w:rPr>
        <w:t xml:space="preserve">Sofia Lundvall </w:t>
      </w:r>
      <w:hyperlink r:id="rId21">
        <w:r w:rsidDel="00000000" w:rsidR="00000000" w:rsidRPr="00000000">
          <w:rPr>
            <w:rFonts w:ascii="Arial" w:cs="Arial" w:eastAsia="Arial" w:hAnsi="Arial"/>
            <w:color w:val="0563c1"/>
            <w:sz w:val="20"/>
            <w:szCs w:val="20"/>
            <w:u w:val="single"/>
            <w:rtl w:val="0"/>
          </w:rPr>
          <w:t xml:space="preserve">slundvall@mubadalacapital.ae</w:t>
        </w:r>
      </w:hyperlink>
      <w:r w:rsidDel="00000000" w:rsidR="00000000" w:rsidRPr="00000000">
        <w:rPr>
          <w:rFonts w:ascii="Arial" w:cs="Arial" w:eastAsia="Arial" w:hAnsi="Arial"/>
          <w:color w:val="0563c1"/>
          <w:sz w:val="20"/>
          <w:szCs w:val="20"/>
          <w:rtl w:val="0"/>
        </w:rPr>
        <w:t xml:space="preserve"> </w:t>
      </w:r>
    </w:p>
    <w:p w:rsidR="00000000" w:rsidDel="00000000" w:rsidP="00000000" w:rsidRDefault="00000000" w:rsidRPr="00000000" w14:paraId="00000015">
      <w:pPr>
        <w:jc w:val="both"/>
        <w:rPr>
          <w:rFonts w:ascii="Arial" w:cs="Arial" w:eastAsia="Arial" w:hAnsi="Arial"/>
          <w:color w:val="0e101a"/>
          <w:sz w:val="20"/>
          <w:szCs w:val="20"/>
        </w:rPr>
      </w:pPr>
      <w:r w:rsidDel="00000000" w:rsidR="00000000" w:rsidRPr="00000000">
        <w:rPr>
          <w:rtl w:val="0"/>
        </w:rPr>
      </w:r>
    </w:p>
    <w:p w:rsidR="00000000" w:rsidDel="00000000" w:rsidP="00000000" w:rsidRDefault="00000000" w:rsidRPr="00000000" w14:paraId="00000016">
      <w:pPr>
        <w:spacing w:after="0" w:before="24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 propos du fonds Large Venture de Bpifrance</w:t>
      </w:r>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Bpifrance est la Banque publique d'investissement de France. Elle finance les entreprises à tous les stades de leur développement par des prêts, des garanties, des prises de participation et des assurances export. Bpifrance propose également des services financiers complémentaires (formation, conseil) pour aider les entrepreneurs à relever tous leurs défis.</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Large Venture est le fonds de capital croissance de Bpifrance. Avec plus de 1,6 milliard d'euros d'actifs sous gestion, Large Venture investit dans des start-ups en très forte croissance et à forte intensité capitalistique cherchant à financer leur croissance organique ou externe et qui ont déjà levé des capitaux auprès d'autres investisseurs en capital-risque. Large Venture est actif dans tous les domaines de la santé et du digital.</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Pour plus d'informations, veuillez consulter le site </w:t>
      </w:r>
      <w:r w:rsidDel="00000000" w:rsidR="00000000" w:rsidRPr="00000000">
        <w:rPr>
          <w:rFonts w:ascii="Arial" w:cs="Arial" w:eastAsia="Arial" w:hAnsi="Arial"/>
          <w:color w:val="0563c1"/>
          <w:sz w:val="20"/>
          <w:szCs w:val="20"/>
          <w:rtl w:val="0"/>
        </w:rPr>
        <w:t xml:space="preserve">www.bpifrance.fr</w:t>
      </w:r>
      <w:r w:rsidDel="00000000" w:rsidR="00000000" w:rsidRPr="00000000">
        <w:rPr>
          <w:rFonts w:ascii="Arial" w:cs="Arial" w:eastAsia="Arial" w:hAnsi="Arial"/>
          <w:sz w:val="20"/>
          <w:szCs w:val="20"/>
          <w:rtl w:val="0"/>
        </w:rPr>
        <w:t xml:space="preserve">, suivre @Bpifrance @BpifrancePresse sur Twitter, contacter Laure Schlagdenhauffen : </w:t>
      </w:r>
      <w:r w:rsidDel="00000000" w:rsidR="00000000" w:rsidRPr="00000000">
        <w:rPr>
          <w:rFonts w:ascii="Arial" w:cs="Arial" w:eastAsia="Arial" w:hAnsi="Arial"/>
          <w:color w:val="0563c1"/>
          <w:sz w:val="20"/>
          <w:szCs w:val="20"/>
          <w:rtl w:val="0"/>
        </w:rPr>
        <w:t xml:space="preserve">laure.schlagdenhauffen@bpifrance.fr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B">
      <w:pPr>
        <w:jc w:val="both"/>
        <w:rPr>
          <w:rFonts w:ascii="Arial" w:cs="Arial" w:eastAsia="Arial" w:hAnsi="Arial"/>
          <w:color w:val="0563c1"/>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À propos d'Owkin</w:t>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startup franco-américaine, cofondée en 2016 par le Dr. Thomas Clozel, cancérologue et ex-chef de clinique en hématologie clinique à Paris, et Gilles Wainrib, pionnier dans le domaine de l'intelligence artificielle en biologie, a levé 70 millions de dollars.</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Owkin connecte les plus grands centres de recherche médicale et sociétés pharmaceutiques d'Europe et des États-Unis au sein d'un écosystème de recherche fédéré. Owkin a développé quatre éléments clés pour construire cet écosystème : Owkin Loop (réseau de partenaires), Owkin Connect (infrastructure technologique), Owkin Studio (outil de création de modèles d’IA) et Owkin Lab (expertise en data science et en biologie).</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Owkin Connect est une technologie sécurisée, traçable et préservant les données privées qui permet à l'entreprise de se connecter aux centres de recherche du réseau Owkin Loop. Grâce à l'approche d'apprentissage fédéré d'Owkin Connect, les données restent au sein des hôpitaux, ce sont les algorithmes qui circulent. Cela permet de partager collectivement les informations issues des données tout en garantissant la confidentialité des patients et le respect de la gouvernance des données des hôpitaux.</w:t>
      </w:r>
    </w:p>
    <w:p w:rsidR="00000000" w:rsidDel="00000000" w:rsidP="00000000" w:rsidRDefault="00000000" w:rsidRPr="00000000" w14:paraId="00000021">
      <w:pPr>
        <w:jc w:val="both"/>
        <w:rPr>
          <w:rFonts w:ascii="Arial" w:cs="Arial" w:eastAsia="Arial" w:hAnsi="Arial"/>
          <w:color w:val="0563c1"/>
          <w:sz w:val="20"/>
          <w:szCs w:val="20"/>
        </w:rPr>
      </w:pPr>
      <w:r w:rsidDel="00000000" w:rsidR="00000000" w:rsidRPr="00000000">
        <w:rPr>
          <w:rFonts w:ascii="Arial" w:cs="Arial" w:eastAsia="Arial" w:hAnsi="Arial"/>
          <w:sz w:val="20"/>
          <w:szCs w:val="20"/>
          <w:rtl w:val="0"/>
        </w:rPr>
        <w:t xml:space="preserve">Pour plus d'informations, veuillez consulter le site </w:t>
      </w:r>
      <w:hyperlink r:id="rId22">
        <w:r w:rsidDel="00000000" w:rsidR="00000000" w:rsidRPr="00000000">
          <w:rPr>
            <w:rFonts w:ascii="Arial" w:cs="Arial" w:eastAsia="Arial" w:hAnsi="Arial"/>
            <w:color w:val="0563c1"/>
            <w:sz w:val="20"/>
            <w:szCs w:val="20"/>
            <w:u w:val="single"/>
            <w:rtl w:val="0"/>
          </w:rPr>
          <w:t xml:space="preserve">www.owkin.com</w:t>
        </w:r>
      </w:hyperlink>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suivre @OWKINscience sur Twitter, contacter Anna Huyghues-Despointes : </w:t>
      </w:r>
      <w:hyperlink r:id="rId23">
        <w:r w:rsidDel="00000000" w:rsidR="00000000" w:rsidRPr="00000000">
          <w:rPr>
            <w:rFonts w:ascii="Arial" w:cs="Arial" w:eastAsia="Arial" w:hAnsi="Arial"/>
            <w:color w:val="0563c1"/>
            <w:sz w:val="20"/>
            <w:szCs w:val="20"/>
            <w:u w:val="single"/>
            <w:rtl w:val="0"/>
          </w:rPr>
          <w:t xml:space="preserve">anna.hd@owkin.com</w:t>
        </w:r>
      </w:hyperlink>
      <w:r w:rsidDel="00000000" w:rsidR="00000000" w:rsidRPr="00000000">
        <w:rPr>
          <w:rFonts w:ascii="Arial" w:cs="Arial" w:eastAsia="Arial" w:hAnsi="Arial"/>
          <w:sz w:val="20"/>
          <w:szCs w:val="20"/>
          <w:rtl w:val="0"/>
        </w:rPr>
        <w:t xml:space="preserve"> ou David Cirilli : </w:t>
      </w:r>
      <w:hyperlink r:id="rId24">
        <w:r w:rsidDel="00000000" w:rsidR="00000000" w:rsidRPr="00000000">
          <w:rPr>
            <w:rFonts w:ascii="Arial" w:cs="Arial" w:eastAsia="Arial" w:hAnsi="Arial"/>
            <w:color w:val="0563c1"/>
            <w:sz w:val="20"/>
            <w:szCs w:val="20"/>
            <w:u w:val="single"/>
            <w:rtl w:val="0"/>
          </w:rPr>
          <w:t xml:space="preserve">david.cirilli_ext@owkin.com</w:t>
        </w:r>
      </w:hyperlink>
      <w:r w:rsidDel="00000000" w:rsidR="00000000" w:rsidRPr="00000000">
        <w:rPr>
          <w:rFonts w:ascii="Arial" w:cs="Arial" w:eastAsia="Arial" w:hAnsi="Arial"/>
          <w:color w:val="0563c1"/>
          <w:sz w:val="20"/>
          <w:szCs w:val="20"/>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mubadala.com" TargetMode="External"/><Relationship Id="rId11" Type="http://schemas.openxmlformats.org/officeDocument/2006/relationships/hyperlink" Target="https://fprimecapital.com/" TargetMode="External"/><Relationship Id="rId22" Type="http://schemas.openxmlformats.org/officeDocument/2006/relationships/hyperlink" Target="http://www.owkin.com" TargetMode="External"/><Relationship Id="rId10" Type="http://schemas.openxmlformats.org/officeDocument/2006/relationships/hyperlink" Target="https://www.gv.com/" TargetMode="External"/><Relationship Id="rId21" Type="http://schemas.openxmlformats.org/officeDocument/2006/relationships/hyperlink" Target="mailto:slundvall@mubadalacapital.ae" TargetMode="External"/><Relationship Id="rId13" Type="http://schemas.openxmlformats.org/officeDocument/2006/relationships/hyperlink" Target="https://www.frst.vc/" TargetMode="External"/><Relationship Id="rId24" Type="http://schemas.openxmlformats.org/officeDocument/2006/relationships/hyperlink" Target="mailto:david.cirilli_ext@owkin.com" TargetMode="External"/><Relationship Id="rId12" Type="http://schemas.openxmlformats.org/officeDocument/2006/relationships/hyperlink" Target="https://eightroads.com/en/" TargetMode="External"/><Relationship Id="rId23" Type="http://schemas.openxmlformats.org/officeDocument/2006/relationships/hyperlink" Target="mailto:anna.hd@owki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v.com/" TargetMode="External"/><Relationship Id="rId15" Type="http://schemas.openxmlformats.org/officeDocument/2006/relationships/hyperlink" Target="https://owkin.com/federated-learning/" TargetMode="External"/><Relationship Id="rId14" Type="http://schemas.openxmlformats.org/officeDocument/2006/relationships/hyperlink" Target="https://www.njfcapital.com/" TargetMode="External"/><Relationship Id="rId17" Type="http://schemas.openxmlformats.org/officeDocument/2006/relationships/hyperlink" Target="https://www.substra.ai/en/healthchain-project" TargetMode="External"/><Relationship Id="rId16" Type="http://schemas.openxmlformats.org/officeDocument/2006/relationships/hyperlink" Target="https://www.melloddy.eu/" TargetMode="External"/><Relationship Id="rId5" Type="http://schemas.openxmlformats.org/officeDocument/2006/relationships/styles" Target="styles.xml"/><Relationship Id="rId19" Type="http://schemas.openxmlformats.org/officeDocument/2006/relationships/hyperlink" Target="https://owkin.com/owkin-studio/" TargetMode="External"/><Relationship Id="rId6" Type="http://schemas.openxmlformats.org/officeDocument/2006/relationships/hyperlink" Target="https://www.bpifrance.com/Private-Equity/Direct-investment/Venture-capital/Large-Venture" TargetMode="External"/><Relationship Id="rId18" Type="http://schemas.openxmlformats.org/officeDocument/2006/relationships/hyperlink" Target="https://owkin.com/platform/loop/" TargetMode="External"/><Relationship Id="rId7" Type="http://schemas.openxmlformats.org/officeDocument/2006/relationships/hyperlink" Target="http://www.cathayinnovation.com/" TargetMode="External"/><Relationship Id="rId8" Type="http://schemas.openxmlformats.org/officeDocument/2006/relationships/hyperlink" Target="https://www.macsf.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